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2FB83" w14:textId="5AC120F2" w:rsidR="001A460E" w:rsidRPr="00604B08" w:rsidRDefault="001A460E" w:rsidP="001A460E">
      <w:pPr>
        <w:jc w:val="center"/>
        <w:rPr>
          <w:b/>
          <w:sz w:val="36"/>
          <w:szCs w:val="36"/>
        </w:rPr>
      </w:pPr>
      <w:r w:rsidRPr="00604B08">
        <w:rPr>
          <w:b/>
          <w:sz w:val="36"/>
          <w:szCs w:val="36"/>
        </w:rPr>
        <w:t>2</w:t>
      </w:r>
      <w:r w:rsidR="00D16004">
        <w:rPr>
          <w:b/>
          <w:sz w:val="36"/>
          <w:szCs w:val="36"/>
        </w:rPr>
        <w:t>2</w:t>
      </w:r>
      <w:r w:rsidRPr="00604B08">
        <w:rPr>
          <w:b/>
          <w:sz w:val="36"/>
          <w:szCs w:val="36"/>
          <w:vertAlign w:val="superscript"/>
        </w:rPr>
        <w:t>st</w:t>
      </w:r>
      <w:r w:rsidRPr="00604B08">
        <w:rPr>
          <w:b/>
          <w:sz w:val="36"/>
          <w:szCs w:val="36"/>
        </w:rPr>
        <w:t xml:space="preserve"> International Public Relations Symposium</w:t>
      </w:r>
    </w:p>
    <w:p w14:paraId="5777BD62" w14:textId="77777777" w:rsidR="001A460E" w:rsidRPr="00604B08" w:rsidRDefault="001A460E" w:rsidP="001A460E">
      <w:pPr>
        <w:jc w:val="center"/>
        <w:rPr>
          <w:b/>
          <w:sz w:val="36"/>
          <w:szCs w:val="36"/>
        </w:rPr>
      </w:pPr>
    </w:p>
    <w:p w14:paraId="737F2807" w14:textId="5E821902" w:rsidR="008C263A" w:rsidRPr="007C2C1F" w:rsidRDefault="00D16004" w:rsidP="007C2C1F">
      <w:pPr>
        <w:jc w:val="center"/>
        <w:rPr>
          <w:b/>
          <w:sz w:val="36"/>
          <w:szCs w:val="36"/>
        </w:rPr>
      </w:pPr>
      <w:r>
        <w:rPr>
          <w:b/>
          <w:sz w:val="36"/>
          <w:szCs w:val="36"/>
        </w:rPr>
        <w:t>BLEDCOM 2015</w:t>
      </w:r>
      <w:r w:rsidR="007C2C1F">
        <w:rPr>
          <w:b/>
          <w:sz w:val="36"/>
          <w:szCs w:val="36"/>
        </w:rPr>
        <w:t xml:space="preserve"> </w:t>
      </w:r>
      <w:r>
        <w:rPr>
          <w:b/>
          <w:sz w:val="36"/>
          <w:szCs w:val="36"/>
        </w:rPr>
        <w:t>–</w:t>
      </w:r>
      <w:r w:rsidR="007C2C1F">
        <w:rPr>
          <w:b/>
          <w:sz w:val="36"/>
          <w:szCs w:val="36"/>
        </w:rPr>
        <w:t xml:space="preserve"> </w:t>
      </w:r>
      <w:r>
        <w:rPr>
          <w:b/>
          <w:sz w:val="32"/>
          <w:szCs w:val="32"/>
        </w:rPr>
        <w:t>Ju</w:t>
      </w:r>
      <w:r w:rsidR="00012D67">
        <w:rPr>
          <w:b/>
          <w:sz w:val="32"/>
          <w:szCs w:val="32"/>
        </w:rPr>
        <w:t>ly 3-4</w:t>
      </w:r>
      <w:r w:rsidR="008C263A" w:rsidRPr="008D676C">
        <w:rPr>
          <w:b/>
          <w:sz w:val="32"/>
          <w:szCs w:val="32"/>
        </w:rPr>
        <w:t>, 201</w:t>
      </w:r>
      <w:r w:rsidR="00B91B98">
        <w:rPr>
          <w:b/>
          <w:sz w:val="32"/>
          <w:szCs w:val="32"/>
        </w:rPr>
        <w:t>5</w:t>
      </w:r>
    </w:p>
    <w:p w14:paraId="25453995" w14:textId="77777777" w:rsidR="001A460E" w:rsidRPr="00604B08" w:rsidRDefault="001A460E" w:rsidP="001A460E">
      <w:pPr>
        <w:jc w:val="center"/>
        <w:rPr>
          <w:b/>
          <w:sz w:val="28"/>
          <w:szCs w:val="28"/>
        </w:rPr>
      </w:pPr>
    </w:p>
    <w:p w14:paraId="6BBEC30C" w14:textId="77777777" w:rsidR="001A460E" w:rsidRPr="00E9169C" w:rsidRDefault="001A460E" w:rsidP="001A460E">
      <w:pPr>
        <w:jc w:val="center"/>
        <w:rPr>
          <w:b/>
          <w:i/>
          <w:sz w:val="32"/>
          <w:szCs w:val="32"/>
        </w:rPr>
      </w:pPr>
      <w:r w:rsidRPr="00E9169C">
        <w:rPr>
          <w:b/>
          <w:i/>
          <w:sz w:val="32"/>
          <w:szCs w:val="32"/>
        </w:rPr>
        <w:t>Call for Papers</w:t>
      </w:r>
    </w:p>
    <w:p w14:paraId="104D8CDD" w14:textId="77777777" w:rsidR="001A460E" w:rsidRDefault="001A460E" w:rsidP="001A460E">
      <w:pPr>
        <w:jc w:val="center"/>
      </w:pPr>
    </w:p>
    <w:p w14:paraId="27FC253F" w14:textId="26EE7812" w:rsidR="008C263A" w:rsidRPr="0087225E" w:rsidRDefault="00E353FC" w:rsidP="00E353FC">
      <w:pPr>
        <w:jc w:val="center"/>
        <w:rPr>
          <w:b/>
          <w:sz w:val="32"/>
          <w:szCs w:val="32"/>
        </w:rPr>
      </w:pPr>
      <w:r>
        <w:rPr>
          <w:b/>
          <w:sz w:val="32"/>
          <w:szCs w:val="32"/>
        </w:rPr>
        <w:t xml:space="preserve">Sleeping (with the) Media </w:t>
      </w:r>
    </w:p>
    <w:p w14:paraId="0CA5355B" w14:textId="77777777" w:rsidR="00C5423D" w:rsidRDefault="00C5423D" w:rsidP="00A348A9"/>
    <w:p w14:paraId="27472287" w14:textId="40064B9A" w:rsidR="009C79D6" w:rsidRPr="00754ECA" w:rsidRDefault="009C79D6" w:rsidP="00FF1610">
      <w:pPr>
        <w:ind w:left="1710" w:hanging="1710"/>
        <w:rPr>
          <w:rFonts w:ascii="Times New Roman" w:hAnsi="Times New Roman" w:cs="Times New Roman"/>
        </w:rPr>
      </w:pPr>
      <w:r w:rsidRPr="00754ECA">
        <w:rPr>
          <w:rFonts w:ascii="Times New Roman" w:hAnsi="Times New Roman" w:cs="Times New Roman"/>
          <w:b/>
          <w:bCs/>
        </w:rPr>
        <w:t>The conference</w:t>
      </w:r>
      <w:r w:rsidR="00FF1610" w:rsidRPr="00754ECA">
        <w:rPr>
          <w:rFonts w:ascii="Times New Roman" w:hAnsi="Times New Roman" w:cs="Times New Roman"/>
        </w:rPr>
        <w:t xml:space="preserve">: </w:t>
      </w:r>
      <w:r w:rsidRPr="00754ECA">
        <w:rPr>
          <w:rFonts w:ascii="Times New Roman" w:hAnsi="Times New Roman" w:cs="Times New Roman"/>
        </w:rPr>
        <w:t>BledCom symposium is an annual gathering of scholars and practitioners in public rel</w:t>
      </w:r>
      <w:r w:rsidR="00D677AE" w:rsidRPr="00754ECA">
        <w:rPr>
          <w:rFonts w:ascii="Times New Roman" w:hAnsi="Times New Roman" w:cs="Times New Roman"/>
        </w:rPr>
        <w:t xml:space="preserve">ations and related disciplines </w:t>
      </w:r>
      <w:r w:rsidRPr="00754ECA">
        <w:rPr>
          <w:rFonts w:ascii="Times New Roman" w:hAnsi="Times New Roman" w:cs="Times New Roman"/>
        </w:rPr>
        <w:t xml:space="preserve">to discuss contemporary communication and management problems. So far, eight books and seven special issues of </w:t>
      </w:r>
      <w:r w:rsidR="000B5CF3">
        <w:rPr>
          <w:rFonts w:ascii="Times New Roman" w:hAnsi="Times New Roman" w:cs="Times New Roman"/>
        </w:rPr>
        <w:t>peer-reviewed</w:t>
      </w:r>
      <w:r w:rsidR="000B5CF3" w:rsidRPr="00754ECA">
        <w:rPr>
          <w:rFonts w:ascii="Times New Roman" w:hAnsi="Times New Roman" w:cs="Times New Roman"/>
        </w:rPr>
        <w:t xml:space="preserve"> </w:t>
      </w:r>
      <w:r w:rsidRPr="00754ECA">
        <w:rPr>
          <w:rFonts w:ascii="Times New Roman" w:hAnsi="Times New Roman" w:cs="Times New Roman"/>
        </w:rPr>
        <w:t>journals have been published based on previous symposia (</w:t>
      </w:r>
      <w:hyperlink r:id="rId6" w:history="1">
        <w:r w:rsidR="00262F3F" w:rsidRPr="00754ECA">
          <w:rPr>
            <w:rStyle w:val="Hyperlink"/>
            <w:rFonts w:ascii="Times New Roman" w:hAnsi="Times New Roman" w:cs="Times New Roman"/>
          </w:rPr>
          <w:t>www.bledcom.com</w:t>
        </w:r>
      </w:hyperlink>
      <w:r w:rsidRPr="00754ECA">
        <w:rPr>
          <w:rFonts w:ascii="Times New Roman" w:hAnsi="Times New Roman" w:cs="Times New Roman"/>
        </w:rPr>
        <w:t>.)</w:t>
      </w:r>
    </w:p>
    <w:p w14:paraId="48E184D5" w14:textId="77777777" w:rsidR="00262F3F" w:rsidRPr="00754ECA" w:rsidRDefault="00262F3F" w:rsidP="00FF1610">
      <w:pPr>
        <w:ind w:left="1710" w:hanging="1710"/>
        <w:rPr>
          <w:rFonts w:ascii="Times New Roman" w:hAnsi="Times New Roman" w:cs="Times New Roman"/>
        </w:rPr>
      </w:pPr>
    </w:p>
    <w:p w14:paraId="3F84EAD4" w14:textId="6931A7D2" w:rsidR="00262F3F" w:rsidRPr="00754ECA" w:rsidRDefault="00262F3F" w:rsidP="00FF1610">
      <w:pPr>
        <w:ind w:left="1710" w:hanging="1710"/>
        <w:rPr>
          <w:rFonts w:ascii="Times New Roman" w:hAnsi="Times New Roman" w:cs="Times New Roman"/>
        </w:rPr>
      </w:pPr>
      <w:r w:rsidRPr="00754ECA">
        <w:rPr>
          <w:rFonts w:ascii="Times New Roman" w:hAnsi="Times New Roman" w:cs="Times New Roman"/>
          <w:b/>
        </w:rPr>
        <w:t>Location:</w:t>
      </w:r>
      <w:r w:rsidRPr="00754ECA">
        <w:rPr>
          <w:rFonts w:ascii="Times New Roman" w:hAnsi="Times New Roman" w:cs="Times New Roman"/>
        </w:rPr>
        <w:t xml:space="preserve"> </w:t>
      </w:r>
      <w:r w:rsidRPr="00754ECA">
        <w:rPr>
          <w:rFonts w:ascii="Times New Roman" w:hAnsi="Times New Roman" w:cs="Times New Roman"/>
        </w:rPr>
        <w:tab/>
        <w:t>Picturesque Alpine Lake Bled in Slovenia</w:t>
      </w:r>
    </w:p>
    <w:p w14:paraId="35904BDD" w14:textId="29587A6E" w:rsidR="009C79D6" w:rsidRPr="00754ECA" w:rsidRDefault="009C79D6" w:rsidP="00A348A9">
      <w:pPr>
        <w:rPr>
          <w:rFonts w:ascii="Times New Roman" w:hAnsi="Times New Roman" w:cs="Times New Roman"/>
        </w:rPr>
      </w:pPr>
    </w:p>
    <w:p w14:paraId="68A35CE9" w14:textId="1A427CD7" w:rsidR="004D3F5B" w:rsidRPr="00754ECA" w:rsidRDefault="002655CA" w:rsidP="00495EB5">
      <w:pPr>
        <w:tabs>
          <w:tab w:val="left" w:pos="1710"/>
        </w:tabs>
        <w:ind w:left="1710" w:hanging="1710"/>
        <w:rPr>
          <w:rFonts w:ascii="Times New Roman" w:hAnsi="Times New Roman" w:cs="Times New Roman"/>
        </w:rPr>
      </w:pPr>
      <w:r w:rsidRPr="00754ECA">
        <w:rPr>
          <w:rFonts w:ascii="Times New Roman" w:hAnsi="Times New Roman" w:cs="Times New Roman"/>
          <w:b/>
        </w:rPr>
        <w:t>Topic:</w:t>
      </w:r>
      <w:r w:rsidR="009B1002" w:rsidRPr="00754ECA">
        <w:rPr>
          <w:rFonts w:ascii="Times New Roman" w:hAnsi="Times New Roman" w:cs="Times New Roman"/>
          <w:b/>
        </w:rPr>
        <w:t xml:space="preserve"> </w:t>
      </w:r>
      <w:r w:rsidR="000C1AEB" w:rsidRPr="00754ECA">
        <w:rPr>
          <w:rFonts w:ascii="Times New Roman" w:hAnsi="Times New Roman" w:cs="Times New Roman"/>
          <w:b/>
        </w:rPr>
        <w:t xml:space="preserve">  </w:t>
      </w:r>
      <w:r w:rsidR="009A66E3" w:rsidRPr="00754ECA">
        <w:rPr>
          <w:rFonts w:ascii="Times New Roman" w:hAnsi="Times New Roman" w:cs="Times New Roman"/>
          <w:b/>
        </w:rPr>
        <w:tab/>
      </w:r>
      <w:r w:rsidR="00FD60B9">
        <w:rPr>
          <w:rFonts w:ascii="Times New Roman" w:hAnsi="Times New Roman" w:cs="Times New Roman"/>
        </w:rPr>
        <w:t xml:space="preserve">In spite of the testy relationship between the two, mass media are critical to public relations </w:t>
      </w:r>
      <w:r w:rsidR="005C550A">
        <w:rPr>
          <w:rFonts w:ascii="Times New Roman" w:hAnsi="Times New Roman" w:cs="Times New Roman"/>
        </w:rPr>
        <w:t>professionals</w:t>
      </w:r>
      <w:r w:rsidR="004D3F5B" w:rsidRPr="00754ECA">
        <w:rPr>
          <w:rFonts w:ascii="Times New Roman" w:hAnsi="Times New Roman" w:cs="Times New Roman"/>
        </w:rPr>
        <w:t xml:space="preserve">. </w:t>
      </w:r>
      <w:r w:rsidR="009F1CA9">
        <w:rPr>
          <w:rFonts w:ascii="Times New Roman" w:hAnsi="Times New Roman" w:cs="Times New Roman"/>
        </w:rPr>
        <w:t>While mass media</w:t>
      </w:r>
      <w:r w:rsidR="004D3F5B" w:rsidRPr="00754ECA">
        <w:rPr>
          <w:rFonts w:ascii="Times New Roman" w:hAnsi="Times New Roman" w:cs="Times New Roman"/>
        </w:rPr>
        <w:t xml:space="preserve"> are extensions of our mind, our mind</w:t>
      </w:r>
      <w:r w:rsidR="001D4710">
        <w:rPr>
          <w:rFonts w:ascii="Times New Roman" w:hAnsi="Times New Roman" w:cs="Times New Roman"/>
        </w:rPr>
        <w:t>s</w:t>
      </w:r>
      <w:r w:rsidR="004D3F5B" w:rsidRPr="00754ECA">
        <w:rPr>
          <w:rFonts w:ascii="Times New Roman" w:hAnsi="Times New Roman" w:cs="Times New Roman"/>
        </w:rPr>
        <w:t xml:space="preserve"> </w:t>
      </w:r>
      <w:r w:rsidR="001D4710">
        <w:rPr>
          <w:rFonts w:ascii="Times New Roman" w:hAnsi="Times New Roman" w:cs="Times New Roman"/>
        </w:rPr>
        <w:t xml:space="preserve">also </w:t>
      </w:r>
      <w:r w:rsidR="004D3F5B" w:rsidRPr="00754ECA">
        <w:rPr>
          <w:rFonts w:ascii="Times New Roman" w:hAnsi="Times New Roman" w:cs="Times New Roman"/>
        </w:rPr>
        <w:t xml:space="preserve">operate as an extension of </w:t>
      </w:r>
      <w:r w:rsidR="00754ECA">
        <w:rPr>
          <w:rFonts w:ascii="Times New Roman" w:hAnsi="Times New Roman" w:cs="Times New Roman"/>
        </w:rPr>
        <w:t xml:space="preserve">the </w:t>
      </w:r>
      <w:r w:rsidR="004D3F5B" w:rsidRPr="00754ECA">
        <w:rPr>
          <w:rFonts w:ascii="Times New Roman" w:hAnsi="Times New Roman" w:cs="Times New Roman"/>
        </w:rPr>
        <w:t>media</w:t>
      </w:r>
      <w:r w:rsidR="00797B43">
        <w:rPr>
          <w:rFonts w:ascii="Times New Roman" w:hAnsi="Times New Roman" w:cs="Times New Roman"/>
        </w:rPr>
        <w:t>.</w:t>
      </w:r>
      <w:r w:rsidR="004D3F5B" w:rsidRPr="00754ECA">
        <w:rPr>
          <w:rFonts w:ascii="Times New Roman" w:hAnsi="Times New Roman" w:cs="Times New Roman"/>
        </w:rPr>
        <w:t xml:space="preserve"> </w:t>
      </w:r>
      <w:bookmarkStart w:id="0" w:name="_GoBack"/>
      <w:bookmarkEnd w:id="0"/>
      <w:r w:rsidR="003C519F">
        <w:rPr>
          <w:rFonts w:ascii="Times New Roman" w:hAnsi="Times New Roman" w:cs="Times New Roman"/>
        </w:rPr>
        <w:t>However, it is true that w</w:t>
      </w:r>
      <w:r w:rsidR="005305CC">
        <w:rPr>
          <w:rFonts w:ascii="Times New Roman" w:hAnsi="Times New Roman" w:cs="Times New Roman"/>
        </w:rPr>
        <w:t>hereas m</w:t>
      </w:r>
      <w:r w:rsidR="004D3F5B" w:rsidRPr="00754ECA">
        <w:rPr>
          <w:rFonts w:ascii="Times New Roman" w:hAnsi="Times New Roman" w:cs="Times New Roman"/>
        </w:rPr>
        <w:t xml:space="preserve">edia </w:t>
      </w:r>
      <w:r w:rsidR="00754ECA" w:rsidRPr="00754ECA">
        <w:rPr>
          <w:rFonts w:ascii="Times New Roman" w:hAnsi="Times New Roman" w:cs="Times New Roman"/>
        </w:rPr>
        <w:t>are gaining in power</w:t>
      </w:r>
      <w:r w:rsidR="004D3F5B" w:rsidRPr="00754ECA">
        <w:rPr>
          <w:rFonts w:ascii="Times New Roman" w:hAnsi="Times New Roman" w:cs="Times New Roman"/>
        </w:rPr>
        <w:t>, journalist</w:t>
      </w:r>
      <w:r w:rsidR="00754ECA">
        <w:rPr>
          <w:rFonts w:ascii="Times New Roman" w:hAnsi="Times New Roman" w:cs="Times New Roman"/>
        </w:rPr>
        <w:t>s</w:t>
      </w:r>
      <w:r w:rsidR="004D3F5B" w:rsidRPr="00754ECA">
        <w:rPr>
          <w:rFonts w:ascii="Times New Roman" w:hAnsi="Times New Roman" w:cs="Times New Roman"/>
        </w:rPr>
        <w:t xml:space="preserve"> have less and less </w:t>
      </w:r>
      <w:r w:rsidR="00754ECA" w:rsidRPr="00754ECA">
        <w:rPr>
          <w:rFonts w:ascii="Times New Roman" w:hAnsi="Times New Roman" w:cs="Times New Roman"/>
        </w:rPr>
        <w:t>of it</w:t>
      </w:r>
      <w:r w:rsidR="004D3F5B" w:rsidRPr="00754ECA">
        <w:rPr>
          <w:rFonts w:ascii="Times New Roman" w:hAnsi="Times New Roman" w:cs="Times New Roman"/>
        </w:rPr>
        <w:t xml:space="preserve">. </w:t>
      </w:r>
    </w:p>
    <w:p w14:paraId="7D306F24" w14:textId="77777777" w:rsidR="004D3F5B" w:rsidRPr="00754ECA" w:rsidRDefault="004D3F5B" w:rsidP="00495EB5">
      <w:pPr>
        <w:tabs>
          <w:tab w:val="left" w:pos="1710"/>
        </w:tabs>
        <w:ind w:left="1710" w:hanging="1710"/>
        <w:rPr>
          <w:rFonts w:ascii="Times New Roman" w:hAnsi="Times New Roman" w:cs="Times New Roman"/>
        </w:rPr>
      </w:pPr>
    </w:p>
    <w:p w14:paraId="32C9AAB9" w14:textId="45F087A8" w:rsidR="00495EB5" w:rsidRPr="00754ECA" w:rsidRDefault="004D3F5B" w:rsidP="00495EB5">
      <w:pPr>
        <w:tabs>
          <w:tab w:val="left" w:pos="1710"/>
        </w:tabs>
        <w:ind w:left="1710" w:hanging="1710"/>
        <w:rPr>
          <w:rFonts w:ascii="Times New Roman" w:hAnsi="Times New Roman" w:cs="Times New Roman"/>
          <w:color w:val="000000"/>
        </w:rPr>
      </w:pPr>
      <w:r w:rsidRPr="00754ECA">
        <w:rPr>
          <w:rFonts w:ascii="Times New Roman" w:hAnsi="Times New Roman" w:cs="Times New Roman"/>
        </w:rPr>
        <w:tab/>
        <w:t>Public relations has always been connected with media</w:t>
      </w:r>
      <w:r w:rsidR="008C3E39">
        <w:rPr>
          <w:rFonts w:ascii="Times New Roman" w:hAnsi="Times New Roman" w:cs="Times New Roman"/>
        </w:rPr>
        <w:t xml:space="preserve"> of all kinds</w:t>
      </w:r>
      <w:r w:rsidRPr="00754ECA">
        <w:rPr>
          <w:rFonts w:ascii="Times New Roman" w:hAnsi="Times New Roman" w:cs="Times New Roman"/>
        </w:rPr>
        <w:t xml:space="preserve">: earned, owned, paid, social, live… </w:t>
      </w:r>
      <w:r w:rsidR="00754ECA" w:rsidRPr="00754ECA">
        <w:rPr>
          <w:rFonts w:ascii="Times New Roman" w:hAnsi="Times New Roman" w:cs="Times New Roman"/>
        </w:rPr>
        <w:t>In the US, there are three public relations practitioners to every journalist and they influence up to eighty percent of the mass media content.</w:t>
      </w:r>
      <w:r w:rsidR="0073611E">
        <w:rPr>
          <w:rFonts w:ascii="Times New Roman" w:hAnsi="Times New Roman" w:cs="Times New Roman"/>
        </w:rPr>
        <w:t xml:space="preserve"> The rest of the world is moving in the same direction.</w:t>
      </w:r>
    </w:p>
    <w:p w14:paraId="54D325DC" w14:textId="77777777" w:rsidR="00495EB5" w:rsidRPr="00754ECA" w:rsidRDefault="00495EB5" w:rsidP="008717B7">
      <w:pPr>
        <w:tabs>
          <w:tab w:val="left" w:pos="1710"/>
        </w:tabs>
        <w:rPr>
          <w:rFonts w:ascii="Times New Roman" w:hAnsi="Times New Roman" w:cs="Times New Roman"/>
          <w:b/>
        </w:rPr>
      </w:pPr>
    </w:p>
    <w:p w14:paraId="7D7CB6AB" w14:textId="6755DB97" w:rsidR="009B661E" w:rsidRDefault="009A66E3" w:rsidP="00754ECA">
      <w:pPr>
        <w:tabs>
          <w:tab w:val="left" w:pos="1710"/>
        </w:tabs>
        <w:ind w:left="1710" w:hanging="1710"/>
        <w:rPr>
          <w:rFonts w:ascii="Times New Roman" w:hAnsi="Times New Roman" w:cs="Times New Roman"/>
        </w:rPr>
      </w:pPr>
      <w:r w:rsidRPr="00754ECA">
        <w:rPr>
          <w:rFonts w:ascii="Times New Roman" w:hAnsi="Times New Roman" w:cs="Times New Roman"/>
        </w:rPr>
        <w:tab/>
      </w:r>
      <w:r w:rsidR="00510B99" w:rsidRPr="00754ECA">
        <w:rPr>
          <w:rFonts w:ascii="Times New Roman" w:hAnsi="Times New Roman" w:cs="Times New Roman"/>
        </w:rPr>
        <w:t xml:space="preserve">Bledcom wishes to explore </w:t>
      </w:r>
      <w:r w:rsidR="008717B7" w:rsidRPr="00754ECA">
        <w:rPr>
          <w:rFonts w:ascii="Times New Roman" w:hAnsi="Times New Roman" w:cs="Times New Roman"/>
        </w:rPr>
        <w:t xml:space="preserve">how </w:t>
      </w:r>
      <w:r w:rsidR="004D3F5B" w:rsidRPr="00754ECA">
        <w:rPr>
          <w:rFonts w:ascii="Times New Roman" w:hAnsi="Times New Roman" w:cs="Times New Roman"/>
        </w:rPr>
        <w:t>contemporary</w:t>
      </w:r>
      <w:r w:rsidR="00754ECA" w:rsidRPr="00754ECA">
        <w:rPr>
          <w:rFonts w:ascii="Times New Roman" w:hAnsi="Times New Roman" w:cs="Times New Roman"/>
        </w:rPr>
        <w:t xml:space="preserve"> media shape our culture, lifestyle, everyday </w:t>
      </w:r>
      <w:r w:rsidR="0073611E">
        <w:rPr>
          <w:rFonts w:ascii="Times New Roman" w:hAnsi="Times New Roman" w:cs="Times New Roman"/>
        </w:rPr>
        <w:t>life</w:t>
      </w:r>
      <w:r w:rsidR="003C31D3">
        <w:rPr>
          <w:rFonts w:ascii="Times New Roman" w:hAnsi="Times New Roman" w:cs="Times New Roman"/>
        </w:rPr>
        <w:t>,</w:t>
      </w:r>
      <w:r w:rsidR="0073611E">
        <w:rPr>
          <w:rFonts w:ascii="Times New Roman" w:hAnsi="Times New Roman" w:cs="Times New Roman"/>
        </w:rPr>
        <w:t xml:space="preserve"> </w:t>
      </w:r>
      <w:r w:rsidR="00754ECA" w:rsidRPr="00754ECA">
        <w:rPr>
          <w:rFonts w:ascii="Times New Roman" w:hAnsi="Times New Roman" w:cs="Times New Roman"/>
        </w:rPr>
        <w:t xml:space="preserve">and social, economic and political systems. How is the world </w:t>
      </w:r>
      <w:r w:rsidR="0070638C">
        <w:rPr>
          <w:rFonts w:ascii="Times New Roman" w:hAnsi="Times New Roman" w:cs="Times New Roman"/>
        </w:rPr>
        <w:t>‘</w:t>
      </w:r>
      <w:r w:rsidR="00754ECA" w:rsidRPr="00754ECA">
        <w:rPr>
          <w:rFonts w:ascii="Times New Roman" w:hAnsi="Times New Roman" w:cs="Times New Roman"/>
        </w:rPr>
        <w:t>edited</w:t>
      </w:r>
      <w:r w:rsidR="0070638C">
        <w:rPr>
          <w:rFonts w:ascii="Times New Roman" w:hAnsi="Times New Roman" w:cs="Times New Roman"/>
        </w:rPr>
        <w:t>’</w:t>
      </w:r>
      <w:r w:rsidR="00754ECA" w:rsidRPr="00754ECA">
        <w:rPr>
          <w:rFonts w:ascii="Times New Roman" w:hAnsi="Times New Roman" w:cs="Times New Roman"/>
        </w:rPr>
        <w:t xml:space="preserve"> to </w:t>
      </w:r>
      <w:r w:rsidR="0070638C">
        <w:rPr>
          <w:rFonts w:ascii="Times New Roman" w:hAnsi="Times New Roman" w:cs="Times New Roman"/>
        </w:rPr>
        <w:t>media consumers and to public relations professionals</w:t>
      </w:r>
      <w:r w:rsidR="00754ECA" w:rsidRPr="00754ECA">
        <w:rPr>
          <w:rFonts w:ascii="Times New Roman" w:hAnsi="Times New Roman" w:cs="Times New Roman"/>
        </w:rPr>
        <w:t>?</w:t>
      </w:r>
      <w:r w:rsidR="00754ECA">
        <w:rPr>
          <w:rFonts w:ascii="Times New Roman" w:hAnsi="Times New Roman" w:cs="Times New Roman"/>
        </w:rPr>
        <w:t xml:space="preserve"> What forces drive contemporary media and what </w:t>
      </w:r>
      <w:r w:rsidR="003C31D3">
        <w:rPr>
          <w:rFonts w:ascii="Times New Roman" w:hAnsi="Times New Roman" w:cs="Times New Roman"/>
        </w:rPr>
        <w:t>is the role of public relations</w:t>
      </w:r>
      <w:r w:rsidR="0070638C">
        <w:rPr>
          <w:rFonts w:ascii="Times New Roman" w:hAnsi="Times New Roman" w:cs="Times New Roman"/>
        </w:rPr>
        <w:t xml:space="preserve"> in that process</w:t>
      </w:r>
      <w:r w:rsidR="003C31D3">
        <w:rPr>
          <w:rFonts w:ascii="Times New Roman" w:hAnsi="Times New Roman" w:cs="Times New Roman"/>
        </w:rPr>
        <w:t>?</w:t>
      </w:r>
      <w:r w:rsidR="00754ECA">
        <w:rPr>
          <w:rFonts w:ascii="Times New Roman" w:hAnsi="Times New Roman" w:cs="Times New Roman"/>
        </w:rPr>
        <w:t xml:space="preserve"> </w:t>
      </w:r>
      <w:r w:rsidR="00706569">
        <w:rPr>
          <w:rFonts w:ascii="Times New Roman" w:hAnsi="Times New Roman" w:cs="Times New Roman"/>
        </w:rPr>
        <w:t>Nearly a</w:t>
      </w:r>
      <w:r w:rsidR="003C31D3">
        <w:rPr>
          <w:rFonts w:ascii="Times New Roman" w:hAnsi="Times New Roman" w:cs="Times New Roman"/>
        </w:rPr>
        <w:t xml:space="preserve"> century after </w:t>
      </w:r>
      <w:r w:rsidR="00556006">
        <w:rPr>
          <w:rFonts w:ascii="Times New Roman" w:hAnsi="Times New Roman" w:cs="Times New Roman"/>
        </w:rPr>
        <w:t xml:space="preserve">the </w:t>
      </w:r>
      <w:r w:rsidR="00E32FF8">
        <w:rPr>
          <w:rFonts w:ascii="Times New Roman" w:hAnsi="Times New Roman" w:cs="Times New Roman"/>
        </w:rPr>
        <w:t xml:space="preserve">publications </w:t>
      </w:r>
      <w:r w:rsidR="00556006">
        <w:rPr>
          <w:rFonts w:ascii="Times New Roman" w:hAnsi="Times New Roman" w:cs="Times New Roman"/>
        </w:rPr>
        <w:t>of</w:t>
      </w:r>
      <w:r w:rsidR="00E32FF8">
        <w:rPr>
          <w:rFonts w:ascii="Times New Roman" w:hAnsi="Times New Roman" w:cs="Times New Roman"/>
        </w:rPr>
        <w:t xml:space="preserve"> </w:t>
      </w:r>
      <w:r w:rsidR="003C31D3">
        <w:rPr>
          <w:rFonts w:ascii="Times New Roman" w:hAnsi="Times New Roman" w:cs="Times New Roman"/>
        </w:rPr>
        <w:t xml:space="preserve">Walter Lippmann’s </w:t>
      </w:r>
      <w:r w:rsidR="003C31D3">
        <w:rPr>
          <w:rFonts w:ascii="Times New Roman" w:hAnsi="Times New Roman" w:cs="Times New Roman"/>
          <w:i/>
        </w:rPr>
        <w:t>Public Opinion</w:t>
      </w:r>
      <w:r w:rsidR="003C31D3">
        <w:rPr>
          <w:rFonts w:ascii="Times New Roman" w:hAnsi="Times New Roman" w:cs="Times New Roman"/>
        </w:rPr>
        <w:t xml:space="preserve"> (1922) and Edward Bernays’ </w:t>
      </w:r>
      <w:r w:rsidR="00E32FF8">
        <w:rPr>
          <w:rFonts w:ascii="Times New Roman" w:hAnsi="Times New Roman" w:cs="Times New Roman"/>
          <w:i/>
        </w:rPr>
        <w:t>Crystalli</w:t>
      </w:r>
      <w:r w:rsidR="003C31D3">
        <w:rPr>
          <w:rFonts w:ascii="Times New Roman" w:hAnsi="Times New Roman" w:cs="Times New Roman"/>
          <w:i/>
        </w:rPr>
        <w:t>zing Public Opinion</w:t>
      </w:r>
      <w:r w:rsidR="003C31D3">
        <w:rPr>
          <w:rFonts w:ascii="Times New Roman" w:hAnsi="Times New Roman" w:cs="Times New Roman"/>
        </w:rPr>
        <w:t xml:space="preserve"> (1923) it </w:t>
      </w:r>
      <w:r w:rsidR="009D1922">
        <w:rPr>
          <w:rFonts w:ascii="Times New Roman" w:hAnsi="Times New Roman" w:cs="Times New Roman"/>
        </w:rPr>
        <w:t>may be</w:t>
      </w:r>
      <w:r w:rsidR="003C31D3">
        <w:rPr>
          <w:rFonts w:ascii="Times New Roman" w:hAnsi="Times New Roman" w:cs="Times New Roman"/>
        </w:rPr>
        <w:t xml:space="preserve"> time </w:t>
      </w:r>
      <w:r w:rsidR="009D1922">
        <w:rPr>
          <w:rFonts w:ascii="Times New Roman" w:hAnsi="Times New Roman" w:cs="Times New Roman"/>
        </w:rPr>
        <w:t xml:space="preserve">to </w:t>
      </w:r>
      <w:r w:rsidR="003C31D3">
        <w:rPr>
          <w:rFonts w:ascii="Times New Roman" w:hAnsi="Times New Roman" w:cs="Times New Roman"/>
        </w:rPr>
        <w:t>raise these questions again.</w:t>
      </w:r>
    </w:p>
    <w:p w14:paraId="7325D522" w14:textId="62AA295D" w:rsidR="00E32FF8" w:rsidRDefault="00E32FF8" w:rsidP="00754ECA">
      <w:pPr>
        <w:tabs>
          <w:tab w:val="left" w:pos="1710"/>
        </w:tabs>
        <w:ind w:left="1710" w:hanging="1710"/>
        <w:rPr>
          <w:rFonts w:ascii="Times New Roman" w:hAnsi="Times New Roman" w:cs="Times New Roman"/>
        </w:rPr>
      </w:pPr>
      <w:r>
        <w:rPr>
          <w:rFonts w:ascii="Times New Roman" w:hAnsi="Times New Roman" w:cs="Times New Roman"/>
        </w:rPr>
        <w:tab/>
      </w:r>
    </w:p>
    <w:p w14:paraId="139A779C" w14:textId="283B60F0" w:rsidR="006F0592" w:rsidRDefault="006F0592" w:rsidP="00754ECA">
      <w:pPr>
        <w:tabs>
          <w:tab w:val="left" w:pos="1710"/>
        </w:tabs>
        <w:ind w:left="1710" w:hanging="1710"/>
        <w:rPr>
          <w:rFonts w:ascii="Times New Roman" w:hAnsi="Times New Roman" w:cs="Times New Roman"/>
        </w:rPr>
      </w:pPr>
      <w:r>
        <w:rPr>
          <w:rFonts w:ascii="Times New Roman" w:hAnsi="Times New Roman" w:cs="Times New Roman"/>
        </w:rPr>
        <w:tab/>
        <w:t>Among the</w:t>
      </w:r>
      <w:r w:rsidR="00790D28">
        <w:rPr>
          <w:rFonts w:ascii="Times New Roman" w:hAnsi="Times New Roman" w:cs="Times New Roman"/>
        </w:rPr>
        <w:t xml:space="preserve"> </w:t>
      </w:r>
      <w:r w:rsidR="00765CBA">
        <w:rPr>
          <w:rFonts w:ascii="Times New Roman" w:hAnsi="Times New Roman" w:cs="Times New Roman"/>
        </w:rPr>
        <w:t>topics</w:t>
      </w:r>
      <w:r w:rsidR="00790D28">
        <w:rPr>
          <w:rFonts w:ascii="Times New Roman" w:hAnsi="Times New Roman" w:cs="Times New Roman"/>
        </w:rPr>
        <w:t xml:space="preserve"> that are subsumed in this 2015 theme are</w:t>
      </w:r>
      <w:r>
        <w:rPr>
          <w:rFonts w:ascii="Times New Roman" w:hAnsi="Times New Roman" w:cs="Times New Roman"/>
        </w:rPr>
        <w:t>:</w:t>
      </w:r>
    </w:p>
    <w:p w14:paraId="5042F55E" w14:textId="33CBFBEE" w:rsidR="006F0592"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CEO media relations,</w:t>
      </w:r>
    </w:p>
    <w:p w14:paraId="0B7B5626" w14:textId="3AA71FB8" w:rsidR="008C33CA" w:rsidRDefault="008C33CA"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government and political media relations,</w:t>
      </w:r>
    </w:p>
    <w:p w14:paraId="3878AF75" w14:textId="08EFFEA3" w:rsidR="008C33CA" w:rsidRDefault="008C33CA"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activist and social movement media relations,</w:t>
      </w:r>
    </w:p>
    <w:p w14:paraId="6BF9955D" w14:textId="09029A8D" w:rsidR="006F0592"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 xml:space="preserve">media relations </w:t>
      </w:r>
      <w:r w:rsidR="007A56E9">
        <w:rPr>
          <w:rFonts w:ascii="Times New Roman" w:hAnsi="Times New Roman" w:cs="Times New Roman"/>
        </w:rPr>
        <w:t>and</w:t>
      </w:r>
      <w:r>
        <w:rPr>
          <w:rFonts w:ascii="Times New Roman" w:hAnsi="Times New Roman" w:cs="Times New Roman"/>
        </w:rPr>
        <w:t xml:space="preserve"> corporate governance,</w:t>
      </w:r>
    </w:p>
    <w:p w14:paraId="1892A6B9" w14:textId="4D12B955" w:rsidR="006F0592"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relations and corporate reputation,</w:t>
      </w:r>
    </w:p>
    <w:p w14:paraId="5EFE0A53" w14:textId="625CDF92" w:rsidR="006F0592"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relations crisis communication,</w:t>
      </w:r>
    </w:p>
    <w:p w14:paraId="7A08729A" w14:textId="43EFD203" w:rsidR="008C33CA" w:rsidRPr="008C33CA" w:rsidRDefault="006F0592" w:rsidP="008C33CA">
      <w:pPr>
        <w:pStyle w:val="ListParagraph"/>
        <w:numPr>
          <w:ilvl w:val="0"/>
          <w:numId w:val="1"/>
        </w:numPr>
        <w:tabs>
          <w:tab w:val="left" w:pos="1710"/>
        </w:tabs>
        <w:rPr>
          <w:rFonts w:ascii="Times New Roman" w:hAnsi="Times New Roman" w:cs="Times New Roman"/>
        </w:rPr>
      </w:pPr>
      <w:r>
        <w:rPr>
          <w:rFonts w:ascii="Times New Roman" w:hAnsi="Times New Roman" w:cs="Times New Roman"/>
        </w:rPr>
        <w:lastRenderedPageBreak/>
        <w:t xml:space="preserve">media relations </w:t>
      </w:r>
      <w:r w:rsidR="007A56E9">
        <w:rPr>
          <w:rFonts w:ascii="Times New Roman" w:hAnsi="Times New Roman" w:cs="Times New Roman"/>
        </w:rPr>
        <w:t>and</w:t>
      </w:r>
      <w:r>
        <w:rPr>
          <w:rFonts w:ascii="Times New Roman" w:hAnsi="Times New Roman" w:cs="Times New Roman"/>
        </w:rPr>
        <w:t xml:space="preserve"> employee branding,</w:t>
      </w:r>
    </w:p>
    <w:p w14:paraId="38813A34" w14:textId="62589F2B" w:rsidR="006F0592"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 xml:space="preserve">media relations </w:t>
      </w:r>
      <w:r w:rsidR="007A56E9">
        <w:rPr>
          <w:rFonts w:ascii="Times New Roman" w:hAnsi="Times New Roman" w:cs="Times New Roman"/>
        </w:rPr>
        <w:t>and</w:t>
      </w:r>
      <w:r>
        <w:rPr>
          <w:rFonts w:ascii="Times New Roman" w:hAnsi="Times New Roman" w:cs="Times New Roman"/>
        </w:rPr>
        <w:t xml:space="preserve"> marketing communication</w:t>
      </w:r>
      <w:r w:rsidR="008C33CA">
        <w:rPr>
          <w:rFonts w:ascii="Times New Roman" w:hAnsi="Times New Roman" w:cs="Times New Roman"/>
        </w:rPr>
        <w:t>,</w:t>
      </w:r>
    </w:p>
    <w:p w14:paraId="4A72DA39" w14:textId="16E3FA79" w:rsidR="008C33CA" w:rsidRDefault="006F0592"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relations in international communication,</w:t>
      </w:r>
    </w:p>
    <w:p w14:paraId="01B456F8" w14:textId="5A7A56FB" w:rsidR="006F0592" w:rsidRDefault="008C33CA"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relations across various – earned, owned, paid, social, mobile, live… -  media,</w:t>
      </w:r>
      <w:r w:rsidR="006F0592">
        <w:rPr>
          <w:rFonts w:ascii="Times New Roman" w:hAnsi="Times New Roman" w:cs="Times New Roman"/>
        </w:rPr>
        <w:t xml:space="preserve"> </w:t>
      </w:r>
    </w:p>
    <w:p w14:paraId="7F1FBE48" w14:textId="0E3223E9" w:rsidR="008C33CA" w:rsidRDefault="008C33CA" w:rsidP="006F0592">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economics and ownership,</w:t>
      </w:r>
    </w:p>
    <w:p w14:paraId="0D6E7C7B" w14:textId="78DAF82E" w:rsidR="00E32FF8" w:rsidRDefault="008C33CA" w:rsidP="008C33CA">
      <w:pPr>
        <w:pStyle w:val="ListParagraph"/>
        <w:numPr>
          <w:ilvl w:val="0"/>
          <w:numId w:val="1"/>
        </w:numPr>
        <w:tabs>
          <w:tab w:val="left" w:pos="1710"/>
        </w:tabs>
        <w:rPr>
          <w:rFonts w:ascii="Times New Roman" w:hAnsi="Times New Roman" w:cs="Times New Roman"/>
        </w:rPr>
      </w:pPr>
      <w:r>
        <w:rPr>
          <w:rFonts w:ascii="Times New Roman" w:hAnsi="Times New Roman" w:cs="Times New Roman"/>
        </w:rPr>
        <w:t>media access, reach and control,</w:t>
      </w:r>
    </w:p>
    <w:p w14:paraId="72065AEC" w14:textId="7B7CE0C9" w:rsidR="008C33CA" w:rsidRDefault="008C33CA" w:rsidP="008C33CA">
      <w:pPr>
        <w:pStyle w:val="ListParagraph"/>
        <w:numPr>
          <w:ilvl w:val="0"/>
          <w:numId w:val="1"/>
        </w:numPr>
        <w:tabs>
          <w:tab w:val="left" w:pos="1710"/>
        </w:tabs>
        <w:rPr>
          <w:rFonts w:ascii="Times New Roman" w:hAnsi="Times New Roman" w:cs="Times New Roman"/>
        </w:rPr>
      </w:pPr>
      <w:r>
        <w:rPr>
          <w:rFonts w:ascii="Times New Roman" w:hAnsi="Times New Roman" w:cs="Times New Roman"/>
        </w:rPr>
        <w:t>citizen journalism and public relations,</w:t>
      </w:r>
    </w:p>
    <w:p w14:paraId="1B471629" w14:textId="77777777" w:rsidR="000C2495" w:rsidRDefault="004C6027" w:rsidP="00DE18A4">
      <w:pPr>
        <w:pStyle w:val="ListParagraph"/>
        <w:numPr>
          <w:ilvl w:val="0"/>
          <w:numId w:val="1"/>
        </w:numPr>
        <w:tabs>
          <w:tab w:val="left" w:pos="1710"/>
        </w:tabs>
        <w:rPr>
          <w:rFonts w:ascii="Times New Roman" w:hAnsi="Times New Roman" w:cs="Times New Roman"/>
        </w:rPr>
      </w:pPr>
      <w:r>
        <w:rPr>
          <w:rFonts w:ascii="Times New Roman" w:hAnsi="Times New Roman" w:cs="Times New Roman"/>
        </w:rPr>
        <w:t>ethics and corruption in media relations</w:t>
      </w:r>
      <w:r w:rsidR="000C2495">
        <w:rPr>
          <w:rFonts w:ascii="Times New Roman" w:hAnsi="Times New Roman" w:cs="Times New Roman"/>
        </w:rPr>
        <w:t>.</w:t>
      </w:r>
    </w:p>
    <w:p w14:paraId="0EB2B91F" w14:textId="776CAE2A" w:rsidR="0049558E" w:rsidRPr="00754ECA" w:rsidRDefault="009A66E3" w:rsidP="00DE18A4">
      <w:pPr>
        <w:pStyle w:val="ListParagraph"/>
        <w:numPr>
          <w:ilvl w:val="0"/>
          <w:numId w:val="1"/>
        </w:numPr>
        <w:tabs>
          <w:tab w:val="left" w:pos="1710"/>
        </w:tabs>
        <w:rPr>
          <w:b/>
        </w:rPr>
      </w:pPr>
      <w:r w:rsidRPr="00754ECA">
        <w:tab/>
      </w:r>
    </w:p>
    <w:p w14:paraId="3F0F4B1A" w14:textId="7AB1F99E" w:rsidR="009A5E88" w:rsidRPr="00754ECA" w:rsidRDefault="009A5E88" w:rsidP="006C1181">
      <w:pPr>
        <w:ind w:left="1800" w:hanging="2160"/>
        <w:rPr>
          <w:rFonts w:ascii="Times New Roman" w:hAnsi="Times New Roman" w:cs="Times New Roman"/>
        </w:rPr>
      </w:pPr>
      <w:r w:rsidRPr="00754ECA">
        <w:rPr>
          <w:rFonts w:ascii="Times New Roman" w:hAnsi="Times New Roman" w:cs="Times New Roman"/>
          <w:b/>
          <w:bCs/>
        </w:rPr>
        <w:t>Call for Abstracts</w:t>
      </w:r>
      <w:r w:rsidRPr="00754ECA">
        <w:rPr>
          <w:rFonts w:ascii="Times New Roman" w:hAnsi="Times New Roman" w:cs="Times New Roman"/>
        </w:rPr>
        <w:t>:</w:t>
      </w:r>
      <w:r w:rsidRPr="00754ECA">
        <w:rPr>
          <w:rFonts w:ascii="Times New Roman" w:hAnsi="Times New Roman" w:cs="Times New Roman"/>
        </w:rPr>
        <w:tab/>
        <w:t xml:space="preserve">The program committee invites 500 – 800 word abstracts addressing </w:t>
      </w:r>
      <w:r w:rsidR="002433BD" w:rsidRPr="00754ECA">
        <w:rPr>
          <w:rFonts w:ascii="Times New Roman" w:hAnsi="Times New Roman" w:cs="Times New Roman"/>
        </w:rPr>
        <w:t xml:space="preserve">the </w:t>
      </w:r>
      <w:r w:rsidR="00A12963">
        <w:rPr>
          <w:rFonts w:ascii="Times New Roman" w:hAnsi="Times New Roman" w:cs="Times New Roman"/>
        </w:rPr>
        <w:t xml:space="preserve">above (and allied) topics related to the </w:t>
      </w:r>
      <w:r w:rsidR="002433BD" w:rsidRPr="00754ECA">
        <w:rPr>
          <w:rFonts w:ascii="Times New Roman" w:hAnsi="Times New Roman" w:cs="Times New Roman"/>
        </w:rPr>
        <w:t xml:space="preserve">conference theme. </w:t>
      </w:r>
      <w:r w:rsidRPr="00754ECA">
        <w:rPr>
          <w:rFonts w:ascii="Times New Roman" w:hAnsi="Times New Roman" w:cs="Times New Roman"/>
        </w:rPr>
        <w:t xml:space="preserve">Papers may be conceptual or based on empirical data (using quantitative and qualitative methodologies).  </w:t>
      </w:r>
      <w:r w:rsidR="002433BD" w:rsidRPr="00754ECA">
        <w:rPr>
          <w:rFonts w:ascii="Times New Roman" w:hAnsi="Times New Roman" w:cs="Times New Roman"/>
        </w:rPr>
        <w:t xml:space="preserve">As always, </w:t>
      </w:r>
      <w:r w:rsidR="005E576C">
        <w:rPr>
          <w:rFonts w:ascii="Times New Roman" w:hAnsi="Times New Roman" w:cs="Times New Roman"/>
        </w:rPr>
        <w:t xml:space="preserve">in addition to papers on the conference theme, </w:t>
      </w:r>
      <w:r w:rsidR="002433BD" w:rsidRPr="00754ECA">
        <w:rPr>
          <w:rFonts w:ascii="Times New Roman" w:hAnsi="Times New Roman" w:cs="Times New Roman"/>
        </w:rPr>
        <w:t xml:space="preserve">the Committee welcomes papers </w:t>
      </w:r>
      <w:r w:rsidR="005E576C">
        <w:rPr>
          <w:rFonts w:ascii="Times New Roman" w:hAnsi="Times New Roman" w:cs="Times New Roman"/>
        </w:rPr>
        <w:t>on all</w:t>
      </w:r>
      <w:r w:rsidR="00A12963">
        <w:rPr>
          <w:rFonts w:ascii="Times New Roman" w:hAnsi="Times New Roman" w:cs="Times New Roman"/>
        </w:rPr>
        <w:t xml:space="preserve"> topics related to public relations from both academics and pract</w:t>
      </w:r>
      <w:r w:rsidR="005E576C">
        <w:rPr>
          <w:rFonts w:ascii="Times New Roman" w:hAnsi="Times New Roman" w:cs="Times New Roman"/>
        </w:rPr>
        <w:t>i</w:t>
      </w:r>
      <w:r w:rsidR="00A12963">
        <w:rPr>
          <w:rFonts w:ascii="Times New Roman" w:hAnsi="Times New Roman" w:cs="Times New Roman"/>
        </w:rPr>
        <w:t>ti</w:t>
      </w:r>
      <w:r w:rsidR="005E576C">
        <w:rPr>
          <w:rFonts w:ascii="Times New Roman" w:hAnsi="Times New Roman" w:cs="Times New Roman"/>
        </w:rPr>
        <w:t>oners.</w:t>
      </w:r>
    </w:p>
    <w:p w14:paraId="48C0F91D" w14:textId="77777777" w:rsidR="009A5E88" w:rsidRPr="00754ECA" w:rsidRDefault="009A5E88" w:rsidP="009A5E88">
      <w:pPr>
        <w:ind w:left="2160" w:hanging="2160"/>
        <w:rPr>
          <w:rFonts w:ascii="Times New Roman" w:hAnsi="Times New Roman" w:cs="Times New Roman"/>
        </w:rPr>
      </w:pPr>
    </w:p>
    <w:p w14:paraId="2E21B11E" w14:textId="77777777" w:rsidR="009A5E88" w:rsidRPr="00754ECA" w:rsidRDefault="009A5E88" w:rsidP="0013337B">
      <w:pPr>
        <w:ind w:left="1800" w:hanging="2160"/>
        <w:rPr>
          <w:rFonts w:ascii="Times New Roman" w:hAnsi="Times New Roman" w:cs="Times New Roman"/>
        </w:rPr>
      </w:pPr>
      <w:r w:rsidRPr="00754ECA">
        <w:rPr>
          <w:rFonts w:ascii="Times New Roman" w:hAnsi="Times New Roman" w:cs="Times New Roman"/>
          <w:b/>
        </w:rPr>
        <w:t>Panels:</w:t>
      </w:r>
      <w:r w:rsidRPr="00754ECA">
        <w:rPr>
          <w:rFonts w:ascii="Times New Roman" w:hAnsi="Times New Roman" w:cs="Times New Roman"/>
        </w:rPr>
        <w:tab/>
        <w:t xml:space="preserve">Panel Proposals are also welcome.  The proposal should describe the title and focus of the panel, name of the chair of the panel, and names of every member of the panel and title or focus of each presentation.  </w:t>
      </w:r>
    </w:p>
    <w:p w14:paraId="5D948EBC" w14:textId="77777777" w:rsidR="009A5E88" w:rsidRPr="00754ECA" w:rsidRDefault="009A5E88" w:rsidP="009A5E88">
      <w:pPr>
        <w:ind w:left="2160" w:hanging="2160"/>
        <w:rPr>
          <w:rFonts w:ascii="Times New Roman" w:hAnsi="Times New Roman" w:cs="Times New Roman"/>
        </w:rPr>
      </w:pPr>
    </w:p>
    <w:p w14:paraId="27349D09" w14:textId="40D6E90D" w:rsidR="009A5E88" w:rsidRPr="00754ECA" w:rsidRDefault="009A5E88" w:rsidP="00D41A93">
      <w:pPr>
        <w:ind w:left="1800" w:hanging="2160"/>
        <w:rPr>
          <w:rFonts w:ascii="Times New Roman" w:hAnsi="Times New Roman" w:cs="Times New Roman"/>
        </w:rPr>
      </w:pPr>
      <w:r w:rsidRPr="00754ECA">
        <w:rPr>
          <w:rFonts w:ascii="Times New Roman" w:hAnsi="Times New Roman" w:cs="Times New Roman"/>
          <w:b/>
        </w:rPr>
        <w:t>Deadline:</w:t>
      </w:r>
      <w:r w:rsidRPr="00754ECA">
        <w:rPr>
          <w:rFonts w:ascii="Times New Roman" w:hAnsi="Times New Roman" w:cs="Times New Roman"/>
          <w:b/>
        </w:rPr>
        <w:tab/>
      </w:r>
      <w:r w:rsidRPr="00754ECA">
        <w:rPr>
          <w:rFonts w:ascii="Times New Roman" w:hAnsi="Times New Roman" w:cs="Times New Roman"/>
        </w:rPr>
        <w:t xml:space="preserve">Both paper abstracts and panel proposals should be submitted via </w:t>
      </w:r>
      <w:r w:rsidR="005C2083" w:rsidRPr="00754ECA">
        <w:rPr>
          <w:rFonts w:ascii="Times New Roman" w:hAnsi="Times New Roman" w:cs="Times New Roman"/>
        </w:rPr>
        <w:t>email to</w:t>
      </w:r>
      <w:r w:rsidR="008717B7" w:rsidRPr="00754ECA">
        <w:rPr>
          <w:rFonts w:ascii="Times New Roman" w:hAnsi="Times New Roman" w:cs="Times New Roman"/>
        </w:rPr>
        <w:t xml:space="preserve"> </w:t>
      </w:r>
      <w:hyperlink r:id="rId7" w:history="1">
        <w:r w:rsidR="008717B7" w:rsidRPr="00754ECA">
          <w:rPr>
            <w:rFonts w:ascii="Times New Roman" w:hAnsi="Times New Roman" w:cs="Times New Roman"/>
            <w:color w:val="8F0049"/>
          </w:rPr>
          <w:t>bledcom@fdv.uni-lj.si</w:t>
        </w:r>
      </w:hyperlink>
      <w:r w:rsidR="008717B7" w:rsidRPr="00754ECA">
        <w:rPr>
          <w:rFonts w:ascii="Times New Roman" w:hAnsi="Times New Roman" w:cs="Times New Roman"/>
        </w:rPr>
        <w:t xml:space="preserve"> </w:t>
      </w:r>
      <w:r w:rsidRPr="00754ECA">
        <w:rPr>
          <w:rFonts w:ascii="Times New Roman" w:hAnsi="Times New Roman" w:cs="Times New Roman"/>
        </w:rPr>
        <w:t xml:space="preserve">no later than </w:t>
      </w:r>
      <w:r w:rsidR="008717B7" w:rsidRPr="00754ECA">
        <w:rPr>
          <w:rFonts w:ascii="Times New Roman" w:hAnsi="Times New Roman" w:cs="Times New Roman"/>
          <w:b/>
        </w:rPr>
        <w:t>February 1, 2015</w:t>
      </w:r>
      <w:r w:rsidRPr="00754ECA">
        <w:rPr>
          <w:rFonts w:ascii="Times New Roman" w:hAnsi="Times New Roman" w:cs="Times New Roman"/>
          <w:b/>
        </w:rPr>
        <w:t>.</w:t>
      </w:r>
    </w:p>
    <w:p w14:paraId="28793AD6" w14:textId="77777777" w:rsidR="009A5E88" w:rsidRPr="00754ECA" w:rsidRDefault="009A5E88" w:rsidP="009A5E88">
      <w:pPr>
        <w:ind w:left="2160" w:hanging="2160"/>
        <w:rPr>
          <w:rFonts w:ascii="Times New Roman" w:hAnsi="Times New Roman" w:cs="Times New Roman"/>
        </w:rPr>
      </w:pPr>
    </w:p>
    <w:p w14:paraId="4DD2F20B" w14:textId="7FDA32DC" w:rsidR="009A5E88" w:rsidRPr="00754ECA" w:rsidRDefault="009A5E88" w:rsidP="00D41A93">
      <w:pPr>
        <w:ind w:left="1800" w:hanging="2160"/>
        <w:rPr>
          <w:rFonts w:ascii="Times New Roman" w:hAnsi="Times New Roman" w:cs="Times New Roman"/>
        </w:rPr>
      </w:pPr>
      <w:r w:rsidRPr="00754ECA">
        <w:rPr>
          <w:rFonts w:ascii="Times New Roman" w:hAnsi="Times New Roman" w:cs="Times New Roman"/>
          <w:b/>
        </w:rPr>
        <w:t xml:space="preserve">Program </w:t>
      </w:r>
      <w:r w:rsidRPr="00754ECA">
        <w:rPr>
          <w:rFonts w:ascii="Times New Roman" w:hAnsi="Times New Roman" w:cs="Times New Roman"/>
          <w:b/>
        </w:rPr>
        <w:tab/>
      </w:r>
      <w:r w:rsidR="009753A4" w:rsidRPr="00754ECA">
        <w:rPr>
          <w:rFonts w:ascii="Times New Roman" w:hAnsi="Times New Roman" w:cs="Times New Roman"/>
        </w:rPr>
        <w:t>Dejan Verčič, Ana Tkalac Verčič</w:t>
      </w:r>
      <w:r w:rsidRPr="00754ECA">
        <w:rPr>
          <w:rFonts w:ascii="Times New Roman" w:hAnsi="Times New Roman" w:cs="Times New Roman"/>
        </w:rPr>
        <w:t xml:space="preserve">, </w:t>
      </w:r>
      <w:r w:rsidR="008717B7" w:rsidRPr="00754ECA">
        <w:rPr>
          <w:rFonts w:ascii="Times New Roman" w:hAnsi="Times New Roman" w:cs="Times New Roman"/>
        </w:rPr>
        <w:t>Krishnamurthy Sriramesh</w:t>
      </w:r>
    </w:p>
    <w:p w14:paraId="309C62B8" w14:textId="2C86C9F3" w:rsidR="009A5E88" w:rsidRPr="00754ECA" w:rsidRDefault="009A5E88" w:rsidP="00D41A93">
      <w:pPr>
        <w:ind w:left="1800" w:hanging="2160"/>
        <w:rPr>
          <w:rFonts w:ascii="Times New Roman" w:hAnsi="Times New Roman" w:cs="Times New Roman"/>
          <w:b/>
        </w:rPr>
      </w:pPr>
      <w:r w:rsidRPr="00754ECA">
        <w:rPr>
          <w:rFonts w:ascii="Times New Roman" w:hAnsi="Times New Roman" w:cs="Times New Roman"/>
          <w:b/>
        </w:rPr>
        <w:t>Committee:</w:t>
      </w:r>
      <w:r w:rsidR="00BC6887" w:rsidRPr="00754ECA">
        <w:rPr>
          <w:rFonts w:ascii="Times New Roman" w:hAnsi="Times New Roman" w:cs="Times New Roman"/>
        </w:rPr>
        <w:tab/>
      </w:r>
    </w:p>
    <w:p w14:paraId="725A14C7" w14:textId="77777777" w:rsidR="00246D4D" w:rsidRPr="00754ECA" w:rsidRDefault="00246D4D" w:rsidP="00144462">
      <w:pPr>
        <w:rPr>
          <w:rFonts w:ascii="Times New Roman" w:hAnsi="Times New Roman" w:cs="Times New Roman"/>
        </w:rPr>
      </w:pPr>
    </w:p>
    <w:p w14:paraId="04DBFD06" w14:textId="3B677426" w:rsidR="00246D4D" w:rsidRPr="00754ECA" w:rsidRDefault="00246D4D" w:rsidP="00246D4D">
      <w:pPr>
        <w:ind w:left="1800" w:hanging="2160"/>
        <w:rPr>
          <w:rFonts w:ascii="Times New Roman" w:hAnsi="Times New Roman" w:cs="Times New Roman"/>
          <w:b/>
        </w:rPr>
      </w:pPr>
      <w:r w:rsidRPr="00754ECA">
        <w:rPr>
          <w:rFonts w:ascii="Times New Roman" w:hAnsi="Times New Roman" w:cs="Times New Roman"/>
          <w:b/>
        </w:rPr>
        <w:t>Please Note:</w:t>
      </w:r>
      <w:r w:rsidRPr="00754ECA">
        <w:rPr>
          <w:rFonts w:ascii="Times New Roman" w:hAnsi="Times New Roman" w:cs="Times New Roman"/>
          <w:b/>
        </w:rPr>
        <w:tab/>
      </w:r>
      <w:r w:rsidR="00E30312" w:rsidRPr="00754ECA">
        <w:rPr>
          <w:rFonts w:ascii="Times New Roman" w:hAnsi="Times New Roman" w:cs="Times New Roman"/>
          <w:b/>
        </w:rPr>
        <w:t>The Program Committee</w:t>
      </w:r>
      <w:r w:rsidRPr="00754ECA">
        <w:rPr>
          <w:rFonts w:ascii="Times New Roman" w:hAnsi="Times New Roman" w:cs="Times New Roman"/>
          <w:b/>
        </w:rPr>
        <w:t xml:space="preserve"> will be guest editing a special issue of </w:t>
      </w:r>
      <w:r w:rsidRPr="00754ECA">
        <w:rPr>
          <w:rFonts w:ascii="Times New Roman" w:hAnsi="Times New Roman" w:cs="Times New Roman"/>
          <w:b/>
          <w:i/>
        </w:rPr>
        <w:t>Public Relations Review</w:t>
      </w:r>
      <w:r w:rsidRPr="00754ECA">
        <w:rPr>
          <w:rFonts w:ascii="Times New Roman" w:hAnsi="Times New Roman" w:cs="Times New Roman"/>
          <w:b/>
        </w:rPr>
        <w:t xml:space="preserve"> based on this topic. </w:t>
      </w:r>
      <w:r w:rsidRPr="00754ECA">
        <w:rPr>
          <w:rFonts w:ascii="Times New Roman" w:hAnsi="Times New Roman" w:cs="Times New Roman"/>
          <w:b/>
          <w:i/>
        </w:rPr>
        <w:t xml:space="preserve"> </w:t>
      </w:r>
      <w:r w:rsidR="00E30312" w:rsidRPr="00754ECA">
        <w:rPr>
          <w:rFonts w:ascii="Times New Roman" w:hAnsi="Times New Roman" w:cs="Times New Roman"/>
          <w:b/>
        </w:rPr>
        <w:t>P</w:t>
      </w:r>
      <w:r w:rsidRPr="00754ECA">
        <w:rPr>
          <w:rFonts w:ascii="Times New Roman" w:hAnsi="Times New Roman" w:cs="Times New Roman"/>
          <w:b/>
        </w:rPr>
        <w:t xml:space="preserve">apers </w:t>
      </w:r>
      <w:r w:rsidR="00E30312" w:rsidRPr="00754ECA">
        <w:rPr>
          <w:rFonts w:ascii="Times New Roman" w:hAnsi="Times New Roman" w:cs="Times New Roman"/>
          <w:b/>
        </w:rPr>
        <w:t>presented at</w:t>
      </w:r>
      <w:r w:rsidR="008717B7" w:rsidRPr="00754ECA">
        <w:rPr>
          <w:rFonts w:ascii="Times New Roman" w:hAnsi="Times New Roman" w:cs="Times New Roman"/>
          <w:b/>
        </w:rPr>
        <w:t xml:space="preserve"> BledCom 2015</w:t>
      </w:r>
      <w:r w:rsidRPr="00754ECA">
        <w:rPr>
          <w:rFonts w:ascii="Times New Roman" w:hAnsi="Times New Roman" w:cs="Times New Roman"/>
          <w:b/>
        </w:rPr>
        <w:t xml:space="preserve"> will be considered for publication in the special issue.</w:t>
      </w:r>
    </w:p>
    <w:p w14:paraId="54D73EB8" w14:textId="77777777" w:rsidR="00E30312" w:rsidRPr="00754ECA" w:rsidRDefault="00E30312" w:rsidP="00246D4D">
      <w:pPr>
        <w:ind w:left="1800" w:hanging="2160"/>
        <w:rPr>
          <w:rFonts w:ascii="Times New Roman" w:hAnsi="Times New Roman" w:cs="Times New Roman"/>
          <w:b/>
        </w:rPr>
      </w:pPr>
    </w:p>
    <w:p w14:paraId="233F109F" w14:textId="06983435" w:rsidR="00AD26C1" w:rsidRPr="00754ECA" w:rsidRDefault="00AD26C1" w:rsidP="008717B7">
      <w:pPr>
        <w:rPr>
          <w:rFonts w:ascii="Times New Roman" w:hAnsi="Times New Roman" w:cs="Times New Roman"/>
          <w:b/>
        </w:rPr>
      </w:pPr>
    </w:p>
    <w:sectPr w:rsidR="00AD26C1" w:rsidRPr="00754ECA" w:rsidSect="000A7A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B2422"/>
    <w:multiLevelType w:val="hybridMultilevel"/>
    <w:tmpl w:val="A538E966"/>
    <w:lvl w:ilvl="0" w:tplc="04090001">
      <w:start w:val="1"/>
      <w:numFmt w:val="bullet"/>
      <w:lvlText w:val=""/>
      <w:lvlJc w:val="left"/>
      <w:pPr>
        <w:ind w:left="2432" w:hanging="360"/>
      </w:pPr>
      <w:rPr>
        <w:rFonts w:ascii="Symbol" w:hAnsi="Symbol" w:hint="default"/>
      </w:rPr>
    </w:lvl>
    <w:lvl w:ilvl="1" w:tplc="04090003" w:tentative="1">
      <w:start w:val="1"/>
      <w:numFmt w:val="bullet"/>
      <w:lvlText w:val="o"/>
      <w:lvlJc w:val="left"/>
      <w:pPr>
        <w:ind w:left="3152" w:hanging="360"/>
      </w:pPr>
      <w:rPr>
        <w:rFonts w:ascii="Courier New" w:hAnsi="Courier New" w:hint="default"/>
      </w:rPr>
    </w:lvl>
    <w:lvl w:ilvl="2" w:tplc="04090005" w:tentative="1">
      <w:start w:val="1"/>
      <w:numFmt w:val="bullet"/>
      <w:lvlText w:val=""/>
      <w:lvlJc w:val="left"/>
      <w:pPr>
        <w:ind w:left="3872" w:hanging="360"/>
      </w:pPr>
      <w:rPr>
        <w:rFonts w:ascii="Wingdings" w:hAnsi="Wingdings" w:hint="default"/>
      </w:rPr>
    </w:lvl>
    <w:lvl w:ilvl="3" w:tplc="04090001" w:tentative="1">
      <w:start w:val="1"/>
      <w:numFmt w:val="bullet"/>
      <w:lvlText w:val=""/>
      <w:lvlJc w:val="left"/>
      <w:pPr>
        <w:ind w:left="4592" w:hanging="360"/>
      </w:pPr>
      <w:rPr>
        <w:rFonts w:ascii="Symbol" w:hAnsi="Symbol" w:hint="default"/>
      </w:rPr>
    </w:lvl>
    <w:lvl w:ilvl="4" w:tplc="04090003" w:tentative="1">
      <w:start w:val="1"/>
      <w:numFmt w:val="bullet"/>
      <w:lvlText w:val="o"/>
      <w:lvlJc w:val="left"/>
      <w:pPr>
        <w:ind w:left="5312" w:hanging="360"/>
      </w:pPr>
      <w:rPr>
        <w:rFonts w:ascii="Courier New" w:hAnsi="Courier New" w:hint="default"/>
      </w:rPr>
    </w:lvl>
    <w:lvl w:ilvl="5" w:tplc="04090005" w:tentative="1">
      <w:start w:val="1"/>
      <w:numFmt w:val="bullet"/>
      <w:lvlText w:val=""/>
      <w:lvlJc w:val="left"/>
      <w:pPr>
        <w:ind w:left="6032" w:hanging="360"/>
      </w:pPr>
      <w:rPr>
        <w:rFonts w:ascii="Wingdings" w:hAnsi="Wingdings" w:hint="default"/>
      </w:rPr>
    </w:lvl>
    <w:lvl w:ilvl="6" w:tplc="04090001" w:tentative="1">
      <w:start w:val="1"/>
      <w:numFmt w:val="bullet"/>
      <w:lvlText w:val=""/>
      <w:lvlJc w:val="left"/>
      <w:pPr>
        <w:ind w:left="6752" w:hanging="360"/>
      </w:pPr>
      <w:rPr>
        <w:rFonts w:ascii="Symbol" w:hAnsi="Symbol" w:hint="default"/>
      </w:rPr>
    </w:lvl>
    <w:lvl w:ilvl="7" w:tplc="04090003" w:tentative="1">
      <w:start w:val="1"/>
      <w:numFmt w:val="bullet"/>
      <w:lvlText w:val="o"/>
      <w:lvlJc w:val="left"/>
      <w:pPr>
        <w:ind w:left="7472" w:hanging="360"/>
      </w:pPr>
      <w:rPr>
        <w:rFonts w:ascii="Courier New" w:hAnsi="Courier New" w:hint="default"/>
      </w:rPr>
    </w:lvl>
    <w:lvl w:ilvl="8" w:tplc="04090005" w:tentative="1">
      <w:start w:val="1"/>
      <w:numFmt w:val="bullet"/>
      <w:lvlText w:val=""/>
      <w:lvlJc w:val="left"/>
      <w:pPr>
        <w:ind w:left="8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9D"/>
    <w:rsid w:val="00004542"/>
    <w:rsid w:val="00012D67"/>
    <w:rsid w:val="000A7A4D"/>
    <w:rsid w:val="000B5CF3"/>
    <w:rsid w:val="000C1AEB"/>
    <w:rsid w:val="000C2495"/>
    <w:rsid w:val="00113C56"/>
    <w:rsid w:val="00115E9D"/>
    <w:rsid w:val="0013337B"/>
    <w:rsid w:val="00144462"/>
    <w:rsid w:val="0016478D"/>
    <w:rsid w:val="001A460E"/>
    <w:rsid w:val="001B33AC"/>
    <w:rsid w:val="001D4710"/>
    <w:rsid w:val="002433BD"/>
    <w:rsid w:val="00246D4D"/>
    <w:rsid w:val="00262F3F"/>
    <w:rsid w:val="002651E1"/>
    <w:rsid w:val="002655CA"/>
    <w:rsid w:val="002B50F1"/>
    <w:rsid w:val="002D798D"/>
    <w:rsid w:val="00312A4E"/>
    <w:rsid w:val="00316F25"/>
    <w:rsid w:val="003A0805"/>
    <w:rsid w:val="003C31D3"/>
    <w:rsid w:val="003C519F"/>
    <w:rsid w:val="0045007C"/>
    <w:rsid w:val="0049558E"/>
    <w:rsid w:val="00495EB5"/>
    <w:rsid w:val="004C6027"/>
    <w:rsid w:val="004D3F5B"/>
    <w:rsid w:val="00510B99"/>
    <w:rsid w:val="0051723E"/>
    <w:rsid w:val="005305CC"/>
    <w:rsid w:val="00556006"/>
    <w:rsid w:val="005815CF"/>
    <w:rsid w:val="005A5269"/>
    <w:rsid w:val="005C2083"/>
    <w:rsid w:val="005C550A"/>
    <w:rsid w:val="005E576C"/>
    <w:rsid w:val="00602BF9"/>
    <w:rsid w:val="00604B08"/>
    <w:rsid w:val="00626D04"/>
    <w:rsid w:val="006C1181"/>
    <w:rsid w:val="006F0592"/>
    <w:rsid w:val="006F0733"/>
    <w:rsid w:val="006F7532"/>
    <w:rsid w:val="0070638C"/>
    <w:rsid w:val="00706569"/>
    <w:rsid w:val="0073611E"/>
    <w:rsid w:val="00754ECA"/>
    <w:rsid w:val="00765CBA"/>
    <w:rsid w:val="00790D28"/>
    <w:rsid w:val="00797B43"/>
    <w:rsid w:val="007A56E9"/>
    <w:rsid w:val="007C2C1F"/>
    <w:rsid w:val="00807E65"/>
    <w:rsid w:val="008717B7"/>
    <w:rsid w:val="0087225E"/>
    <w:rsid w:val="00893A45"/>
    <w:rsid w:val="008C263A"/>
    <w:rsid w:val="008C33CA"/>
    <w:rsid w:val="008C3E39"/>
    <w:rsid w:val="008D676C"/>
    <w:rsid w:val="009753A4"/>
    <w:rsid w:val="009A5E88"/>
    <w:rsid w:val="009A66E3"/>
    <w:rsid w:val="009B1002"/>
    <w:rsid w:val="009B661E"/>
    <w:rsid w:val="009B68CC"/>
    <w:rsid w:val="009C79D6"/>
    <w:rsid w:val="009D1922"/>
    <w:rsid w:val="009F1CA9"/>
    <w:rsid w:val="00A12963"/>
    <w:rsid w:val="00A348A9"/>
    <w:rsid w:val="00A769F7"/>
    <w:rsid w:val="00AD26C1"/>
    <w:rsid w:val="00B91B98"/>
    <w:rsid w:val="00BB6ADC"/>
    <w:rsid w:val="00BC6887"/>
    <w:rsid w:val="00C217E7"/>
    <w:rsid w:val="00C2573D"/>
    <w:rsid w:val="00C5423D"/>
    <w:rsid w:val="00D16004"/>
    <w:rsid w:val="00D2331C"/>
    <w:rsid w:val="00D41543"/>
    <w:rsid w:val="00D41A93"/>
    <w:rsid w:val="00D677AE"/>
    <w:rsid w:val="00DA4F69"/>
    <w:rsid w:val="00DE18A4"/>
    <w:rsid w:val="00DE6F71"/>
    <w:rsid w:val="00E30312"/>
    <w:rsid w:val="00E32FF8"/>
    <w:rsid w:val="00E353FC"/>
    <w:rsid w:val="00E9169C"/>
    <w:rsid w:val="00EB52C3"/>
    <w:rsid w:val="00EE02FB"/>
    <w:rsid w:val="00FA7EB0"/>
    <w:rsid w:val="00FD60B9"/>
    <w:rsid w:val="00FF1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D6FF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F3F"/>
    <w:rPr>
      <w:color w:val="0000FF" w:themeColor="hyperlink"/>
      <w:u w:val="single"/>
    </w:rPr>
  </w:style>
  <w:style w:type="paragraph" w:styleId="ListParagraph">
    <w:name w:val="List Paragraph"/>
    <w:basedOn w:val="Normal"/>
    <w:uiPriority w:val="34"/>
    <w:qFormat/>
    <w:rsid w:val="006F0592"/>
    <w:pPr>
      <w:ind w:left="720"/>
      <w:contextualSpacing/>
    </w:pPr>
  </w:style>
  <w:style w:type="paragraph" w:styleId="BalloonText">
    <w:name w:val="Balloon Text"/>
    <w:basedOn w:val="Normal"/>
    <w:link w:val="BalloonTextChar"/>
    <w:uiPriority w:val="99"/>
    <w:semiHidden/>
    <w:unhideWhenUsed/>
    <w:rsid w:val="005C550A"/>
    <w:rPr>
      <w:rFonts w:ascii="Lucida Grande" w:hAnsi="Lucida Grande"/>
      <w:sz w:val="18"/>
      <w:szCs w:val="18"/>
    </w:rPr>
  </w:style>
  <w:style w:type="character" w:customStyle="1" w:styleId="BalloonTextChar">
    <w:name w:val="Balloon Text Char"/>
    <w:basedOn w:val="DefaultParagraphFont"/>
    <w:link w:val="BalloonText"/>
    <w:uiPriority w:val="99"/>
    <w:semiHidden/>
    <w:rsid w:val="005C550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F3F"/>
    <w:rPr>
      <w:color w:val="0000FF" w:themeColor="hyperlink"/>
      <w:u w:val="single"/>
    </w:rPr>
  </w:style>
  <w:style w:type="paragraph" w:styleId="ListParagraph">
    <w:name w:val="List Paragraph"/>
    <w:basedOn w:val="Normal"/>
    <w:uiPriority w:val="34"/>
    <w:qFormat/>
    <w:rsid w:val="006F0592"/>
    <w:pPr>
      <w:ind w:left="720"/>
      <w:contextualSpacing/>
    </w:pPr>
  </w:style>
  <w:style w:type="paragraph" w:styleId="BalloonText">
    <w:name w:val="Balloon Text"/>
    <w:basedOn w:val="Normal"/>
    <w:link w:val="BalloonTextChar"/>
    <w:uiPriority w:val="99"/>
    <w:semiHidden/>
    <w:unhideWhenUsed/>
    <w:rsid w:val="005C550A"/>
    <w:rPr>
      <w:rFonts w:ascii="Lucida Grande" w:hAnsi="Lucida Grande"/>
      <w:sz w:val="18"/>
      <w:szCs w:val="18"/>
    </w:rPr>
  </w:style>
  <w:style w:type="character" w:customStyle="1" w:styleId="BalloonTextChar">
    <w:name w:val="Balloon Text Char"/>
    <w:basedOn w:val="DefaultParagraphFont"/>
    <w:link w:val="BalloonText"/>
    <w:uiPriority w:val="99"/>
    <w:semiHidden/>
    <w:rsid w:val="005C550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ledcom.com" TargetMode="External"/><Relationship Id="rId7" Type="http://schemas.openxmlformats.org/officeDocument/2006/relationships/hyperlink" Target="mailto:bledcom@fdv.uni-lj.s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516</Words>
  <Characters>2943</Characters>
  <Application>Microsoft Macintosh Word</Application>
  <DocSecurity>0</DocSecurity>
  <Lines>24</Lines>
  <Paragraphs>6</Paragraphs>
  <ScaleCrop>false</ScaleCrop>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Sriramesh, Krishnamurthy</dc:creator>
  <cp:keywords/>
  <dc:description/>
  <cp:lastModifiedBy>Liberal Arts</cp:lastModifiedBy>
  <cp:revision>28</cp:revision>
  <dcterms:created xsi:type="dcterms:W3CDTF">2014-05-11T13:18:00Z</dcterms:created>
  <dcterms:modified xsi:type="dcterms:W3CDTF">2014-07-04T14:09:00Z</dcterms:modified>
</cp:coreProperties>
</file>